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sz w:val="20"/>
          <w:szCs w:val="20"/>
          <w:lang w:eastAsia="ru-RU"/>
        </w:rPr>
        <w:t xml:space="preserve">Тарифный план «Мобильное решение»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Расценки для абонентов юридических лиц и индивидуальных предпринимателей Московского региона постоплатной системы расчетов на услуги связи в сети «Билайн» для тарифного плана «Мобильное решение».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color w:val="FF0000"/>
          <w:sz w:val="20"/>
          <w:szCs w:val="20"/>
          <w:lang w:eastAsia="ru-RU"/>
        </w:rPr>
        <w:t>Расценки действительны с 10.04.2013</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045"/>
        <w:gridCol w:w="2299"/>
      </w:tblGrid>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7F7F7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color w:val="FFFFFF"/>
                <w:sz w:val="20"/>
                <w:szCs w:val="20"/>
                <w:lang w:eastAsia="ru-RU"/>
              </w:rPr>
              <w:t>Тарифный план</w:t>
            </w:r>
          </w:p>
        </w:tc>
        <w:tc>
          <w:tcPr>
            <w:tcW w:w="0" w:type="auto"/>
            <w:tcBorders>
              <w:top w:val="outset" w:sz="6" w:space="0" w:color="auto"/>
              <w:left w:val="outset" w:sz="6" w:space="0" w:color="auto"/>
              <w:bottom w:val="outset" w:sz="6" w:space="0" w:color="auto"/>
            </w:tcBorders>
            <w:shd w:val="clear" w:color="auto" w:fill="7F7F7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b/>
                <w:bCs/>
                <w:color w:val="FFFFFF"/>
                <w:sz w:val="20"/>
                <w:szCs w:val="20"/>
                <w:lang w:eastAsia="ru-RU"/>
              </w:rPr>
              <w:t>Мобильное решение</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Тип номера</w:t>
            </w:r>
          </w:p>
        </w:tc>
        <w:tc>
          <w:tcPr>
            <w:tcW w:w="0" w:type="auto"/>
            <w:tcBorders>
              <w:top w:val="outset" w:sz="6" w:space="0" w:color="auto"/>
              <w:left w:val="outset" w:sz="6" w:space="0" w:color="auto"/>
              <w:bottom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b/>
                <w:bCs/>
                <w:sz w:val="20"/>
                <w:szCs w:val="20"/>
                <w:lang w:eastAsia="ru-RU"/>
              </w:rPr>
              <w:t>Федеральный</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Система расчетов</w:t>
            </w:r>
          </w:p>
        </w:tc>
        <w:tc>
          <w:tcPr>
            <w:tcW w:w="0" w:type="auto"/>
            <w:tcBorders>
              <w:top w:val="outset" w:sz="6" w:space="0" w:color="auto"/>
              <w:left w:val="outset" w:sz="6" w:space="0" w:color="auto"/>
              <w:bottom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Постоплатная</w:t>
            </w:r>
            <w:hyperlink r:id="rId4" w:anchor="OLE_LINK1" w:tooltip="За оказанные услуги Оператор ежемесячно (по истечении расчетного периода) выставляет Абоненту счета в соответствии с действующими тарифами Оператора. Счет должен быть оплачен Абонентом в течение 25 дней после его выставления, если иной срок не предусмотр" w:history="1">
              <w:r w:rsidRPr="009B3772">
                <w:rPr>
                  <w:rFonts w:ascii="Verdana" w:hAnsi="Verdana"/>
                  <w:color w:val="0000FF"/>
                  <w:sz w:val="20"/>
                  <w:szCs w:val="20"/>
                  <w:u w:val="single"/>
                  <w:vertAlign w:val="superscript"/>
                  <w:lang w:eastAsia="ru-RU"/>
                </w:rPr>
                <w:t>1</w:t>
              </w:r>
            </w:hyperlink>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Стоимость подключения</w:t>
            </w:r>
            <w:hyperlink r:id="rId5" w:anchor="OLE_LINK2" w:tooltip="Взимается при заключении абонентского договора (стоимость подключения к сети) и при переходе с другого тарифного плана (стоимость изменения тарифного плана)." w:history="1">
              <w:r w:rsidRPr="009B3772">
                <w:rPr>
                  <w:rFonts w:ascii="Verdana" w:hAnsi="Verdana"/>
                  <w:color w:val="0000FF"/>
                  <w:sz w:val="20"/>
                  <w:szCs w:val="20"/>
                  <w:u w:val="single"/>
                  <w:vertAlign w:val="superscript"/>
                  <w:lang w:eastAsia="ru-RU"/>
                </w:rPr>
                <w:t>2</w:t>
              </w:r>
            </w:hyperlink>
          </w:p>
        </w:tc>
        <w:tc>
          <w:tcPr>
            <w:tcW w:w="0" w:type="auto"/>
            <w:tcBorders>
              <w:top w:val="outset" w:sz="6" w:space="0" w:color="auto"/>
              <w:left w:val="outset" w:sz="6" w:space="0" w:color="auto"/>
              <w:bottom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0</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Гарантийный взнос</w:t>
            </w:r>
            <w:hyperlink r:id="rId6" w:anchor="OLE_LINK3" w:tooltip="Гарантийный взнос взимается единовременно с каждого абонентского номера, который подключается к Тарифному плану." w:history="1">
              <w:r w:rsidRPr="009B3772">
                <w:rPr>
                  <w:rFonts w:ascii="Verdana" w:hAnsi="Verdana"/>
                  <w:color w:val="0000FF"/>
                  <w:sz w:val="20"/>
                  <w:szCs w:val="20"/>
                  <w:u w:val="single"/>
                  <w:vertAlign w:val="superscript"/>
                  <w:lang w:eastAsia="ru-RU"/>
                </w:rPr>
                <w:t>3</w:t>
              </w:r>
            </w:hyperlink>
          </w:p>
        </w:tc>
        <w:tc>
          <w:tcPr>
            <w:tcW w:w="0" w:type="auto"/>
            <w:tcBorders>
              <w:top w:val="outset" w:sz="6" w:space="0" w:color="auto"/>
              <w:left w:val="outset" w:sz="6" w:space="0" w:color="auto"/>
              <w:bottom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0</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Абонентская плата</w:t>
            </w:r>
            <w:r w:rsidRPr="009B3772">
              <w:rPr>
                <w:rFonts w:ascii="Verdana" w:hAnsi="Verdana"/>
                <w:sz w:val="20"/>
                <w:szCs w:val="20"/>
                <w:vertAlign w:val="superscript"/>
                <w:lang w:eastAsia="ru-RU"/>
              </w:rPr>
              <w:t>4</w:t>
            </w:r>
          </w:p>
        </w:tc>
        <w:tc>
          <w:tcPr>
            <w:tcW w:w="0" w:type="auto"/>
            <w:tcBorders>
              <w:top w:val="outset" w:sz="6" w:space="0" w:color="auto"/>
              <w:left w:val="outset" w:sz="6" w:space="0" w:color="auto"/>
              <w:bottom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0</w:t>
            </w:r>
          </w:p>
        </w:tc>
      </w:tr>
      <w:tr w:rsidR="00D401AC" w:rsidRPr="002E1440" w:rsidTr="009B3772">
        <w:trPr>
          <w:tblCellSpacing w:w="15" w:type="dxa"/>
        </w:trPr>
        <w:tc>
          <w:tcPr>
            <w:tcW w:w="0" w:type="auto"/>
            <w:gridSpan w:val="2"/>
            <w:tcBorders>
              <w:top w:val="outset" w:sz="6" w:space="0" w:color="auto"/>
              <w:bottom w:val="outset" w:sz="6" w:space="0" w:color="auto"/>
            </w:tcBorders>
            <w:shd w:val="clear" w:color="auto" w:fill="7F7F7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color w:val="FFFFFF"/>
                <w:sz w:val="20"/>
                <w:szCs w:val="20"/>
                <w:lang w:eastAsia="ru-RU"/>
              </w:rPr>
              <w:t>Основные параметры тарифного плана</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Мобильный интернет</w:t>
            </w:r>
            <w:r w:rsidRPr="009B3772">
              <w:rPr>
                <w:rFonts w:ascii="Verdana" w:hAnsi="Verdana"/>
                <w:sz w:val="20"/>
                <w:szCs w:val="20"/>
                <w:vertAlign w:val="superscript"/>
                <w:lang w:eastAsia="ru-RU"/>
              </w:rPr>
              <w:t>5,6,7</w:t>
            </w:r>
            <w:r w:rsidRPr="009B3772">
              <w:rPr>
                <w:rFonts w:ascii="Verdana" w:hAnsi="Verdana"/>
                <w:sz w:val="20"/>
                <w:szCs w:val="20"/>
                <w:lang w:eastAsia="ru-RU"/>
              </w:rPr>
              <w:t xml:space="preserve"> (за Мбайт переданных/полученных данных) при нахождении на территории РФ, кроме Дальневосточного региона</w:t>
            </w:r>
            <w:r w:rsidRPr="009B3772">
              <w:rPr>
                <w:rFonts w:ascii="Verdana" w:hAnsi="Verdana"/>
                <w:sz w:val="20"/>
                <w:szCs w:val="20"/>
                <w:vertAlign w:val="superscript"/>
                <w:lang w:eastAsia="ru-RU"/>
              </w:rPr>
              <w:t>9,10</w:t>
            </w:r>
            <w:r w:rsidRPr="009B3772">
              <w:rPr>
                <w:rFonts w:ascii="Verdana" w:hAnsi="Verdana"/>
                <w:sz w:val="20"/>
                <w:szCs w:val="20"/>
                <w:lang w:eastAsia="ru-RU"/>
              </w:rPr>
              <w:t xml:space="preserve"> (руб.)</w:t>
            </w:r>
          </w:p>
        </w:tc>
        <w:tc>
          <w:tcPr>
            <w:tcW w:w="0" w:type="auto"/>
            <w:tcBorders>
              <w:top w:val="outset" w:sz="6" w:space="0" w:color="auto"/>
              <w:left w:val="outset" w:sz="6" w:space="0" w:color="auto"/>
              <w:bottom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b/>
                <w:bCs/>
                <w:sz w:val="20"/>
                <w:szCs w:val="20"/>
                <w:lang w:eastAsia="ru-RU"/>
              </w:rPr>
              <w:t>1,3</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Исходящие SMS и MMS на номера российских операторов подвижной связи при нахождении на территории РФ (руб.)</w:t>
            </w:r>
          </w:p>
        </w:tc>
        <w:tc>
          <w:tcPr>
            <w:tcW w:w="0" w:type="auto"/>
            <w:tcBorders>
              <w:top w:val="outset" w:sz="6" w:space="0" w:color="auto"/>
              <w:left w:val="outset" w:sz="6" w:space="0" w:color="auto"/>
              <w:bottom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b/>
                <w:bCs/>
                <w:sz w:val="20"/>
                <w:szCs w:val="20"/>
                <w:lang w:eastAsia="ru-RU"/>
              </w:rPr>
              <w:t>2,04</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808080"/>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color w:val="FFFFFF"/>
                <w:sz w:val="20"/>
                <w:szCs w:val="20"/>
                <w:lang w:eastAsia="ru-RU"/>
              </w:rPr>
              <w:t>Услуги международного роуминга и в поездках по России в сетях других операторов</w:t>
            </w:r>
            <w:r w:rsidRPr="009B3772">
              <w:rPr>
                <w:rFonts w:ascii="Verdana" w:hAnsi="Verdana"/>
                <w:b/>
                <w:bCs/>
                <w:color w:val="FFFFFF"/>
                <w:sz w:val="20"/>
                <w:szCs w:val="20"/>
                <w:vertAlign w:val="superscript"/>
                <w:lang w:eastAsia="ru-RU"/>
              </w:rPr>
              <w:t>8</w:t>
            </w:r>
          </w:p>
        </w:tc>
        <w:tc>
          <w:tcPr>
            <w:tcW w:w="0" w:type="auto"/>
            <w:tcBorders>
              <w:top w:val="outset" w:sz="6" w:space="0" w:color="auto"/>
              <w:left w:val="outset" w:sz="6" w:space="0" w:color="auto"/>
              <w:bottom w:val="outset" w:sz="6" w:space="0" w:color="auto"/>
            </w:tcBorders>
            <w:shd w:val="clear" w:color="auto" w:fill="808080"/>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color w:val="FFFFFF"/>
                <w:sz w:val="20"/>
                <w:szCs w:val="20"/>
                <w:lang w:eastAsia="ru-RU"/>
              </w:rPr>
              <w:t>Согласно тарифам оператора*</w:t>
            </w:r>
          </w:p>
        </w:tc>
      </w:tr>
      <w:tr w:rsidR="00D401AC" w:rsidRPr="002E1440" w:rsidTr="009B3772">
        <w:trPr>
          <w:tblCellSpacing w:w="15" w:type="dxa"/>
        </w:trPr>
        <w:tc>
          <w:tcPr>
            <w:tcW w:w="0" w:type="auto"/>
            <w:gridSpan w:val="2"/>
            <w:tcBorders>
              <w:top w:val="outset" w:sz="6" w:space="0" w:color="auto"/>
              <w:bottom w:val="outset" w:sz="6" w:space="0" w:color="auto"/>
            </w:tcBorders>
            <w:shd w:val="clear" w:color="auto" w:fill="808080"/>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color w:val="FFFFFF"/>
                <w:sz w:val="20"/>
                <w:szCs w:val="20"/>
                <w:lang w:eastAsia="ru-RU"/>
              </w:rPr>
              <w:t>Услуги передачи данных</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F2F2F2"/>
            <w:tcMar>
              <w:top w:w="15" w:type="dxa"/>
              <w:left w:w="45" w:type="dxa"/>
              <w:bottom w:w="15" w:type="dxa"/>
              <w:right w:w="45" w:type="dxa"/>
            </w:tcMa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Стоимость исходящего SMS-сообщения при нахождении в домашней сети и в поездках по России в сети Билайн:</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На номера российских операторов подвижной связи (руб.)</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На номера «Билайн» в странах СНГ и Грузии, а также любых международных операторов подвижной связи (руб.)</w:t>
            </w:r>
          </w:p>
        </w:tc>
        <w:tc>
          <w:tcPr>
            <w:tcW w:w="0" w:type="auto"/>
            <w:tcBorders>
              <w:top w:val="outset" w:sz="6" w:space="0" w:color="auto"/>
              <w:left w:val="outset" w:sz="6" w:space="0" w:color="auto"/>
              <w:bottom w:val="outset" w:sz="6" w:space="0" w:color="auto"/>
            </w:tcBorders>
            <w:shd w:val="clear" w:color="auto" w:fill="F2F2F2"/>
            <w:tcMar>
              <w:top w:w="15" w:type="dxa"/>
              <w:left w:w="45" w:type="dxa"/>
              <w:bottom w:w="15" w:type="dxa"/>
              <w:right w:w="45" w:type="dxa"/>
            </w:tcMar>
            <w:vAlign w:val="bottom"/>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2,04</w:t>
            </w:r>
          </w:p>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6,05</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BFBFBF"/>
            <w:tcMar>
              <w:top w:w="15" w:type="dxa"/>
              <w:left w:w="45" w:type="dxa"/>
              <w:bottom w:w="15" w:type="dxa"/>
              <w:right w:w="45" w:type="dxa"/>
            </w:tcMa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Стоимость исходящего MMS-сообщения при нахождении в домашней сети и в поездках по России в сети Билайн:</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На номера российских операторов подвижной связи (руб.)</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На номера «Билайн» в странах СНГ и Грузии, а также любых международных операторов подвижной связи (руб.)</w:t>
            </w:r>
          </w:p>
        </w:tc>
        <w:tc>
          <w:tcPr>
            <w:tcW w:w="0" w:type="auto"/>
            <w:tcBorders>
              <w:top w:val="outset" w:sz="6" w:space="0" w:color="auto"/>
              <w:left w:val="outset" w:sz="6" w:space="0" w:color="auto"/>
              <w:bottom w:val="outset" w:sz="6" w:space="0" w:color="auto"/>
            </w:tcBorders>
            <w:shd w:val="clear" w:color="auto" w:fill="BFBFBF"/>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2,04</w:t>
            </w:r>
          </w:p>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6,56</w:t>
            </w:r>
          </w:p>
        </w:tc>
      </w:tr>
      <w:tr w:rsidR="00D401AC" w:rsidRPr="002E1440" w:rsidTr="009B3772">
        <w:trPr>
          <w:tblCellSpacing w:w="15" w:type="dxa"/>
        </w:trPr>
        <w:tc>
          <w:tcPr>
            <w:tcW w:w="0" w:type="auto"/>
            <w:tcBorders>
              <w:top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Соединение по стандартному каналу (9600 бит/с) за минуту (руб.)</w:t>
            </w:r>
          </w:p>
        </w:tc>
        <w:tc>
          <w:tcPr>
            <w:tcW w:w="0" w:type="auto"/>
            <w:tcBorders>
              <w:top w:val="outset" w:sz="6" w:space="0" w:color="auto"/>
              <w:left w:val="outset" w:sz="6" w:space="0" w:color="auto"/>
              <w:bottom w:val="outset" w:sz="6" w:space="0" w:color="auto"/>
            </w:tcBorders>
            <w:shd w:val="clear" w:color="auto" w:fill="F2F2F2"/>
            <w:tcMar>
              <w:top w:w="15" w:type="dxa"/>
              <w:left w:w="45" w:type="dxa"/>
              <w:bottom w:w="15" w:type="dxa"/>
              <w:right w:w="45" w:type="dxa"/>
            </w:tcMar>
            <w:vAlign w:val="center"/>
          </w:tcPr>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3,05</w:t>
            </w:r>
          </w:p>
        </w:tc>
      </w:tr>
    </w:tbl>
    <w:p w:rsidR="00D401AC" w:rsidRPr="009B3772" w:rsidRDefault="00D401AC" w:rsidP="009B3772">
      <w:pPr>
        <w:spacing w:after="0" w:line="360" w:lineRule="auto"/>
        <w:jc w:val="center"/>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sz w:val="20"/>
          <w:szCs w:val="20"/>
          <w:lang w:eastAsia="ru-RU"/>
        </w:rPr>
        <w:t>Возможность приёма/совершения голосовых вызовов отсутствует.</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*Подробная информация на сайте </w:t>
      </w:r>
      <w:hyperlink r:id="rId7" w:tgtFrame="_blank" w:history="1">
        <w:r w:rsidRPr="009B3772">
          <w:rPr>
            <w:rFonts w:ascii="Verdana" w:hAnsi="Verdana"/>
            <w:color w:val="0000FF"/>
            <w:sz w:val="20"/>
            <w:szCs w:val="20"/>
            <w:u w:val="single"/>
            <w:lang w:eastAsia="ru-RU"/>
          </w:rPr>
          <w:t>www.b2b.beeline.ru</w:t>
        </w:r>
      </w:hyperlink>
      <w:r w:rsidRPr="009B3772">
        <w:rPr>
          <w:rFonts w:ascii="Verdana" w:hAnsi="Verdana"/>
          <w:sz w:val="20"/>
          <w:szCs w:val="20"/>
          <w:lang w:eastAsia="ru-RU"/>
        </w:rPr>
        <w:t xml:space="preserve"> или по телефону (499) 277 77 77</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b/>
          <w:bCs/>
          <w:sz w:val="20"/>
          <w:szCs w:val="20"/>
          <w:lang w:eastAsia="ru-RU"/>
        </w:rPr>
        <w:t>Условия предоставления тарифного плана «Мобильное решение»:</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1. За оказанные услуги Оператор ежемесячно (по истечении расчетного периода-месяца оказания услуг) выставляет Абоненту счета в соответствии с действующими тарифами Оператора. Счет должен быть оплачен Абонентом в течение 25 дней с момента его выставления, если иной срок не предусмотрен абонентским договором.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2. Взимается при заключении абонентского договора (стоимость подключения к сети) и при переходе с другого тарифного плана (стоимость изменения тарифного плана в части услуг подвижной радиотелефонной связи, плата за изменение тарифа на оплату телематических услуг связи не взимается), если иное не предусмотрено условиями тарифного плана.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3. Гарантийный взнос взимается единовременно с каждого абонентского номера, который подключается к Тарифному плану.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4. Абонентская плата взимается по окончанию расчетного периода (месяц). При наличии в течение расчетного периода блокировок абонентского номера по желанию абонента/инициативе Оператора (в случаях, предусмотренных Договором и действующим законодательством) абонентская плата рассчитывается посуточно. В случае блокирования абонентского номера по причине несвоевременной оплаты счета - взимается в полном объеме.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5. Максимальные значения скорости передачи данных в сети 2G (по технологии GPRS/EDGE) — до 236 Кбит/с, в сети 3G (по технологии UMTS/HSPA) — до 7,2 Мбит/с (указываются по данным фирмы-производителя оборудования), в сети 4G (по технологии LTE) – до 300 Мбит/с. Указанные скорости передачи данных не гарантированы на всей территории и зависят от рельефа местности, плотности окружающей застройки, загруженности сети и прочих внешних факторов.</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6. Абонент получает возможность в ходе пользования услугой Мобильный Интернет отправлять/принимать данные через следующие APN: internet.beeline.ru, wap.beeline.ru</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7. Указанный тариф действует при любых 2G/3G/4G сессиях. Нетарифицируемый объем переданных/полученных данных в начале каждой сессии 0 Кбайт. Во время сессии 1 раз в 15 минут, или при достижении общего объема переданных и принятых данных в 500 Кбайт, или при завершении сессии абонентом, формируется детализированная запись о сессии, в которой отдельно прописывается входящий («down») и исходящий («up») трафик. Объем переданных/полученных в течение сессии данных округляется в большую сторону с точностью до 102,4 Кбайт. Далее эта информация поступает в систему, отвечающую за выставление счетов. Данные, полученные после округления, используются при выставлении счета. При ограничении скорости возможен разрыв текущей сессии.</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8. Услуги </w:t>
      </w:r>
      <w:r w:rsidRPr="009B3772">
        <w:rPr>
          <w:rFonts w:ascii="Verdana" w:hAnsi="Verdana"/>
          <w:color w:val="212121"/>
          <w:sz w:val="20"/>
          <w:szCs w:val="20"/>
          <w:lang w:eastAsia="ru-RU"/>
        </w:rPr>
        <w:t>в поездках по России в сетях других операторов</w:t>
      </w:r>
      <w:r w:rsidRPr="009B3772">
        <w:rPr>
          <w:rFonts w:ascii="Verdana" w:hAnsi="Verdana"/>
          <w:sz w:val="20"/>
          <w:szCs w:val="20"/>
          <w:lang w:eastAsia="ru-RU"/>
        </w:rPr>
        <w:t xml:space="preserve"> предоставляются автоматически, международного роуминга – при условии заказа услуг международной связи. Подробная информация о тарификации в поездках по России в сетях других операторов и международном роуминге на сайте</w:t>
      </w:r>
      <w:r w:rsidRPr="009B3772">
        <w:rPr>
          <w:rFonts w:ascii="Verdana" w:hAnsi="Verdana"/>
          <w:color w:val="BA000D"/>
          <w:sz w:val="20"/>
          <w:szCs w:val="20"/>
          <w:lang w:eastAsia="ru-RU"/>
        </w:rPr>
        <w:t>_</w:t>
      </w:r>
      <w:r w:rsidRPr="009B3772">
        <w:rPr>
          <w:rFonts w:ascii="Verdana" w:hAnsi="Verdana"/>
          <w:sz w:val="20"/>
          <w:szCs w:val="20"/>
          <w:lang w:eastAsia="ru-RU"/>
        </w:rPr>
        <w:t>b2b.beeline.ru</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9. Зона обслуживания сети «Билайн» на территории Дальнего Востока: Республика Саха (Якутия), Приморский край, Хабаровский край, Амурская область, Камчатская область, Магаданская область, Сахалинская область, Еврейская автономная область, Корякский автономный округ, Чукотский автономный округ, Республика Бурятия, Иркутская область, Читинская область, ,Агинский Бурятский автономный округ, Усть-Ордынский Бурятский автономный округ.</w:t>
      </w:r>
      <w:r w:rsidRPr="009B3772">
        <w:rPr>
          <w:rFonts w:ascii="Verdana" w:hAnsi="Verdana"/>
          <w:color w:val="BA000D"/>
          <w:sz w:val="20"/>
          <w:szCs w:val="20"/>
          <w:lang w:eastAsia="ru-RU"/>
        </w:rPr>
        <w:t>_____</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10. На территории Дальневосточного региона действует тарификация 10,12 руб за 1 Мбайт переданных/полученных данных.</w:t>
      </w:r>
      <w:r w:rsidRPr="009B3772">
        <w:rPr>
          <w:rFonts w:ascii="Verdana" w:hAnsi="Verdana"/>
          <w:color w:val="BA000D"/>
          <w:sz w:val="20"/>
          <w:szCs w:val="20"/>
          <w:lang w:eastAsia="ru-RU"/>
        </w:rPr>
        <w:t>_________</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Оплата производится в рублях. Цены и тарифы указаны в рублях с учетом НДС и не включают в себя надбавку к тарифам в размере 1,2%. При расчете стоимости услуг применяется цена без учета НДС, полученная путем деления указанной в прайс-листе цены на 1,2 и математического округления с точностью до копеек. Расчетная стоимость услуг не учитывает возможных скидок и бонусов. Оборудование сертифицировано. </w:t>
      </w:r>
    </w:p>
    <w:p w:rsidR="00D401AC" w:rsidRPr="009B3772" w:rsidRDefault="00D401AC" w:rsidP="009B3772">
      <w:pPr>
        <w:spacing w:after="0" w:line="360" w:lineRule="auto"/>
        <w:rPr>
          <w:rFonts w:ascii="Verdana" w:hAnsi="Verdana"/>
          <w:sz w:val="20"/>
          <w:szCs w:val="20"/>
          <w:lang w:eastAsia="ru-RU"/>
        </w:rPr>
      </w:pPr>
      <w:r w:rsidRPr="009B3772">
        <w:rPr>
          <w:rFonts w:ascii="Verdana" w:hAnsi="Verdana"/>
          <w:sz w:val="20"/>
          <w:szCs w:val="20"/>
          <w:lang w:eastAsia="ru-RU"/>
        </w:rPr>
        <w:t xml:space="preserve">С перечнем лицензий ОАО «ВымпелКом» на услуги подвижной радиотелефонной связи, на услуги передачи данных, за исключением услуг связи по передаче данных для целей передачи голосовой информации, на телематические услуги связи, на услуги передачи данных для целей передачи голосовой информации, а также с перечнем лицензий на другие услуги связи можно ознакомиться на сайте </w:t>
      </w:r>
      <w:hyperlink r:id="rId8" w:tgtFrame="_blank" w:history="1">
        <w:r w:rsidRPr="009B3772">
          <w:rPr>
            <w:rFonts w:ascii="Verdana" w:hAnsi="Verdana"/>
            <w:color w:val="0000FF"/>
            <w:sz w:val="20"/>
            <w:szCs w:val="20"/>
            <w:u w:val="single"/>
            <w:lang w:eastAsia="ru-RU"/>
          </w:rPr>
          <w:t>www.beeline.ru</w:t>
        </w:r>
      </w:hyperlink>
      <w:r w:rsidRPr="009B3772">
        <w:rPr>
          <w:rFonts w:ascii="Verdana" w:hAnsi="Verdana"/>
          <w:sz w:val="20"/>
          <w:szCs w:val="20"/>
          <w:lang w:eastAsia="ru-RU"/>
        </w:rPr>
        <w:t>.</w:t>
      </w:r>
    </w:p>
    <w:p w:rsidR="00D401AC" w:rsidRDefault="00D401AC">
      <w:bookmarkStart w:id="0" w:name="_GoBack"/>
      <w:bookmarkEnd w:id="0"/>
    </w:p>
    <w:sectPr w:rsidR="00D401AC" w:rsidSect="005F4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C01"/>
    <w:rsid w:val="002936CA"/>
    <w:rsid w:val="002E1440"/>
    <w:rsid w:val="005F4441"/>
    <w:rsid w:val="007C3C01"/>
    <w:rsid w:val="009B3772"/>
    <w:rsid w:val="00AD4E99"/>
    <w:rsid w:val="00D401AC"/>
    <w:rsid w:val="00E363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B3772"/>
    <w:pPr>
      <w:spacing w:after="0" w:line="360" w:lineRule="auto"/>
    </w:pPr>
    <w:rPr>
      <w:rFonts w:ascii="Verdana" w:eastAsia="Times New Roman" w:hAnsi="Verdana"/>
      <w:sz w:val="20"/>
      <w:szCs w:val="20"/>
      <w:lang w:eastAsia="ru-RU"/>
    </w:rPr>
  </w:style>
  <w:style w:type="character" w:styleId="Hyperlink">
    <w:name w:val="Hyperlink"/>
    <w:basedOn w:val="DefaultParagraphFont"/>
    <w:uiPriority w:val="99"/>
    <w:semiHidden/>
    <w:rsid w:val="009B37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260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line.ru" TargetMode="External"/><Relationship Id="rId3" Type="http://schemas.openxmlformats.org/officeDocument/2006/relationships/webSettings" Target="webSettings.xml"/><Relationship Id="rId7" Type="http://schemas.openxmlformats.org/officeDocument/2006/relationships/hyperlink" Target="http://www.b2b.bee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bee.vimpelcom.ru/sheminfo/information/tariffs/Tarifnik/Central/Moscow/MSOLUTION.htm" TargetMode="External"/><Relationship Id="rId5" Type="http://schemas.openxmlformats.org/officeDocument/2006/relationships/hyperlink" Target="http://hd.bee.vimpelcom.ru/sheminfo/information/tariffs/Tarifnik/Central/Moscow/MSOLUTION.htm" TargetMode="External"/><Relationship Id="rId10" Type="http://schemas.openxmlformats.org/officeDocument/2006/relationships/theme" Target="theme/theme1.xml"/><Relationship Id="rId4" Type="http://schemas.openxmlformats.org/officeDocument/2006/relationships/hyperlink" Target="http://hd.bee.vimpelcom.ru/sheminfo/information/tariffs/Tarifnik/Central/Moscow/MSOLUTION.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1024</Words>
  <Characters>5842</Characters>
  <Application>Microsoft Office Outlook</Application>
  <DocSecurity>0</DocSecurity>
  <Lines>0</Lines>
  <Paragraphs>0</Paragraphs>
  <ScaleCrop>false</ScaleCrop>
  <Company>Vimpelcom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Марина Викторовна</dc:creator>
  <cp:keywords/>
  <dc:description/>
  <cp:lastModifiedBy>1</cp:lastModifiedBy>
  <cp:revision>3</cp:revision>
  <dcterms:created xsi:type="dcterms:W3CDTF">2019-03-13T10:14:00Z</dcterms:created>
  <dcterms:modified xsi:type="dcterms:W3CDTF">2019-03-13T10:43:00Z</dcterms:modified>
</cp:coreProperties>
</file>